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CF0" w:rsidRPr="00230CF0" w:rsidRDefault="00230CF0" w:rsidP="00230CF0">
      <w:pPr>
        <w:tabs>
          <w:tab w:val="left" w:pos="1950"/>
        </w:tabs>
        <w:spacing w:after="0" w:line="360" w:lineRule="auto"/>
        <w:jc w:val="center"/>
        <w:rPr>
          <w:rFonts w:ascii="Times New Roman" w:eastAsia="Calibri" w:hAnsi="Times New Roman" w:cs="Times New Roman"/>
          <w:b/>
          <w:sz w:val="24"/>
          <w:szCs w:val="24"/>
        </w:rPr>
      </w:pPr>
      <w:bookmarkStart w:id="0" w:name="_GoBack"/>
      <w:bookmarkEnd w:id="0"/>
      <w:r w:rsidRPr="00230CF0">
        <w:rPr>
          <w:rFonts w:ascii="Times New Roman" w:eastAsia="Calibri" w:hAnsi="Times New Roman" w:cs="Times New Roman"/>
          <w:b/>
          <w:sz w:val="24"/>
          <w:szCs w:val="24"/>
        </w:rPr>
        <w:t>«Чтение с лис</w:t>
      </w:r>
      <w:r w:rsidR="00073923">
        <w:rPr>
          <w:rFonts w:ascii="Times New Roman" w:eastAsia="Calibri" w:hAnsi="Times New Roman" w:cs="Times New Roman"/>
          <w:b/>
          <w:sz w:val="24"/>
          <w:szCs w:val="24"/>
        </w:rPr>
        <w:t>та: его формирование и развитие</w:t>
      </w:r>
      <w:r w:rsidRPr="00230CF0">
        <w:rPr>
          <w:rFonts w:ascii="Times New Roman" w:eastAsia="Calibri" w:hAnsi="Times New Roman" w:cs="Times New Roman"/>
          <w:b/>
          <w:sz w:val="24"/>
          <w:szCs w:val="24"/>
        </w:rPr>
        <w:t>»</w:t>
      </w:r>
    </w:p>
    <w:p w:rsidR="00230CF0" w:rsidRPr="00230CF0" w:rsidRDefault="00230CF0" w:rsidP="00230CF0">
      <w:pPr>
        <w:tabs>
          <w:tab w:val="left" w:pos="0"/>
        </w:tabs>
        <w:spacing w:after="0" w:line="360" w:lineRule="auto"/>
        <w:ind w:firstLine="709"/>
        <w:jc w:val="both"/>
        <w:rPr>
          <w:rFonts w:ascii="Times New Roman" w:eastAsia="Calibri" w:hAnsi="Times New Roman" w:cs="Times New Roman"/>
          <w:sz w:val="24"/>
          <w:szCs w:val="24"/>
        </w:rPr>
      </w:pP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Процесс игры с листа представляет собой сложную цепь действий, взятый в своей последовательности. Разделим его на несколько групп.</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Первая группа включает действия, предваряющие собственно игру с листа:</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Определение характера, темпа, основной </w:t>
      </w:r>
      <w:proofErr w:type="spellStart"/>
      <w:r w:rsidRPr="00230CF0">
        <w:rPr>
          <w:rFonts w:ascii="Times New Roman" w:eastAsia="Calibri" w:hAnsi="Times New Roman" w:cs="Times New Roman"/>
          <w:sz w:val="24"/>
          <w:szCs w:val="24"/>
        </w:rPr>
        <w:t>ладотональности</w:t>
      </w:r>
      <w:proofErr w:type="spellEnd"/>
      <w:r w:rsidRPr="00230CF0">
        <w:rPr>
          <w:rFonts w:ascii="Times New Roman" w:eastAsia="Calibri" w:hAnsi="Times New Roman" w:cs="Times New Roman"/>
          <w:sz w:val="24"/>
          <w:szCs w:val="24"/>
        </w:rPr>
        <w:t xml:space="preserve"> и размера,</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Беглый просмотр текста с целью выявить тип изложения и метроритмический рисунок (в этот момент рождается предварительная моторная установка- стратегия поведения рук)</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Вторая группа действий относится непосредственно к чтению и связана с работой зрения и слуха: зрительный охват и мысленная дешифровка ритмической и </w:t>
      </w:r>
      <w:proofErr w:type="spellStart"/>
      <w:r w:rsidRPr="00230CF0">
        <w:rPr>
          <w:rFonts w:ascii="Times New Roman" w:eastAsia="Calibri" w:hAnsi="Times New Roman" w:cs="Times New Roman"/>
          <w:sz w:val="24"/>
          <w:szCs w:val="24"/>
        </w:rPr>
        <w:t>звуковысотной</w:t>
      </w:r>
      <w:proofErr w:type="spellEnd"/>
      <w:r w:rsidRPr="00230CF0">
        <w:rPr>
          <w:rFonts w:ascii="Times New Roman" w:eastAsia="Calibri" w:hAnsi="Times New Roman" w:cs="Times New Roman"/>
          <w:sz w:val="24"/>
          <w:szCs w:val="24"/>
        </w:rPr>
        <w:t xml:space="preserve"> графики, опознание в тексте знакомых элементов, осознание его структурной логики. Работа осложняется тем, что слух принужден обрабатывать одновременно различные фрагменты текста: и тот, который предстоит сыграть (формируется приближенный звуковой образ- программа), и тот, который исполняется в данный момент (реальное звучание сличается с ожидавшимся)</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Третья группа является реализацией озвучивания воспринимаемого текста. Это сложная деятельность всего двигательного аппарата.</w:t>
      </w:r>
    </w:p>
    <w:p w:rsidR="00230CF0" w:rsidRPr="00230CF0" w:rsidRDefault="00230CF0" w:rsidP="00230CF0">
      <w:pPr>
        <w:tabs>
          <w:tab w:val="left" w:pos="195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Отсутствие или </w:t>
      </w:r>
      <w:proofErr w:type="spellStart"/>
      <w:r w:rsidRPr="00230CF0">
        <w:rPr>
          <w:rFonts w:ascii="Times New Roman" w:eastAsia="Calibri" w:hAnsi="Times New Roman" w:cs="Times New Roman"/>
          <w:sz w:val="24"/>
          <w:szCs w:val="24"/>
        </w:rPr>
        <w:t>ослабленность</w:t>
      </w:r>
      <w:proofErr w:type="spellEnd"/>
      <w:r w:rsidRPr="00230CF0">
        <w:rPr>
          <w:rFonts w:ascii="Times New Roman" w:eastAsia="Calibri" w:hAnsi="Times New Roman" w:cs="Times New Roman"/>
          <w:sz w:val="24"/>
          <w:szCs w:val="24"/>
        </w:rPr>
        <w:t xml:space="preserve"> моторной двигательной готовности - весьма распространенная причина разлаженности механизма игры с листа. </w:t>
      </w:r>
      <w:proofErr w:type="spellStart"/>
      <w:r w:rsidRPr="00230CF0">
        <w:rPr>
          <w:rFonts w:ascii="Times New Roman" w:eastAsia="Calibri" w:hAnsi="Times New Roman" w:cs="Times New Roman"/>
          <w:sz w:val="24"/>
          <w:szCs w:val="24"/>
        </w:rPr>
        <w:t>Ф.Лист</w:t>
      </w:r>
      <w:proofErr w:type="spellEnd"/>
      <w:r w:rsidRPr="00230CF0">
        <w:rPr>
          <w:rFonts w:ascii="Times New Roman" w:eastAsia="Calibri" w:hAnsi="Times New Roman" w:cs="Times New Roman"/>
          <w:sz w:val="24"/>
          <w:szCs w:val="24"/>
        </w:rPr>
        <w:t xml:space="preserve"> пришел к выводу, что «все возможные пассажи могут быть сведены к нескольким основным формулам, из которых проистекают все встречаемые сочетания</w:t>
      </w:r>
      <w:proofErr w:type="gramStart"/>
      <w:r w:rsidRPr="00230CF0">
        <w:rPr>
          <w:rFonts w:ascii="Times New Roman" w:eastAsia="Calibri" w:hAnsi="Times New Roman" w:cs="Times New Roman"/>
          <w:sz w:val="24"/>
          <w:szCs w:val="24"/>
        </w:rPr>
        <w:t>» .</w:t>
      </w:r>
      <w:proofErr w:type="gramEnd"/>
      <w:r w:rsidRPr="00230CF0">
        <w:rPr>
          <w:rFonts w:ascii="Times New Roman" w:eastAsia="Calibri" w:hAnsi="Times New Roman" w:cs="Times New Roman"/>
          <w:sz w:val="24"/>
          <w:szCs w:val="24"/>
        </w:rPr>
        <w:t xml:space="preserve"> Чтобы воспроизводить с легкостью нотный текст, необходимо накопить в зрительной, слуховой и моторной памяти достаточный</w:t>
      </w:r>
      <w:r w:rsidR="00110162">
        <w:rPr>
          <w:rFonts w:ascii="Times New Roman" w:eastAsia="Calibri" w:hAnsi="Times New Roman" w:cs="Times New Roman"/>
          <w:sz w:val="24"/>
          <w:szCs w:val="24"/>
        </w:rPr>
        <w:t xml:space="preserve"> запас </w:t>
      </w:r>
      <w:r w:rsidRPr="00230CF0">
        <w:rPr>
          <w:rFonts w:ascii="Times New Roman" w:eastAsia="Calibri" w:hAnsi="Times New Roman" w:cs="Times New Roman"/>
          <w:sz w:val="24"/>
          <w:szCs w:val="24"/>
        </w:rPr>
        <w:t xml:space="preserve">типовых оборотов» фортепианной музыки, усвоить наиболее употребительные аккордовые структуры, типичные модуляционные </w:t>
      </w:r>
      <w:proofErr w:type="spellStart"/>
      <w:r w:rsidRPr="00230CF0">
        <w:rPr>
          <w:rFonts w:ascii="Times New Roman" w:eastAsia="Calibri" w:hAnsi="Times New Roman" w:cs="Times New Roman"/>
          <w:sz w:val="24"/>
          <w:szCs w:val="24"/>
        </w:rPr>
        <w:t>последования</w:t>
      </w:r>
      <w:proofErr w:type="spellEnd"/>
      <w:r w:rsidRPr="00230CF0">
        <w:rPr>
          <w:rFonts w:ascii="Times New Roman" w:eastAsia="Calibri" w:hAnsi="Times New Roman" w:cs="Times New Roman"/>
          <w:sz w:val="24"/>
          <w:szCs w:val="24"/>
        </w:rPr>
        <w:t xml:space="preserve">. </w:t>
      </w:r>
    </w:p>
    <w:p w:rsidR="00230CF0" w:rsidRPr="00230CF0" w:rsidRDefault="00230CF0" w:rsidP="00230CF0">
      <w:pPr>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 Развитие слуха и изучение нот зачастую выступают как два различных, изолированных друг от друга процесса. Считается, что первый как бы сам по себе, автоматически должен повлиять на ход второго. Но на практике такого</w:t>
      </w:r>
      <w:r w:rsidR="00110162">
        <w:rPr>
          <w:rFonts w:ascii="Times New Roman" w:eastAsia="Calibri" w:hAnsi="Times New Roman" w:cs="Times New Roman"/>
          <w:sz w:val="24"/>
          <w:szCs w:val="24"/>
        </w:rPr>
        <w:t xml:space="preserve"> не происходит. Дело в том, что, </w:t>
      </w:r>
      <w:r w:rsidRPr="00230CF0">
        <w:rPr>
          <w:rFonts w:ascii="Times New Roman" w:eastAsia="Calibri" w:hAnsi="Times New Roman" w:cs="Times New Roman"/>
          <w:sz w:val="24"/>
          <w:szCs w:val="24"/>
        </w:rPr>
        <w:t>когда ученик переходит к игре по нотам, работа над развитием слуха в классе по специальности ослабевает, а нередко и прекращается, вместо того, чтобы стать еще интенсивнее и постоянно опережать усвоение новых элементов нотной записи. Различные слуховые формы работы с учеником не всегда сопряжены в определенную систему, они не подчинены задаче формирования первоначальных элементарных умений и навыков, которые могут обеспечить плавный переход к чтению с листа.</w:t>
      </w:r>
    </w:p>
    <w:p w:rsidR="00230CF0" w:rsidRPr="00230CF0" w:rsidRDefault="00230CF0" w:rsidP="00230CF0">
      <w:pPr>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Различаются два типа вспомогательных развивающих действий. К первому типу относятся действия, направленные на формирование одного умения. Такова работа со </w:t>
      </w:r>
      <w:r w:rsidRPr="00230CF0">
        <w:rPr>
          <w:rFonts w:ascii="Times New Roman" w:eastAsia="Calibri" w:hAnsi="Times New Roman" w:cs="Times New Roman"/>
          <w:sz w:val="24"/>
          <w:szCs w:val="24"/>
        </w:rPr>
        <w:lastRenderedPageBreak/>
        <w:t>звучащим словом, которой отводится значительное место в ряде современных систем и школ музыкального развития. Она начинается с подчеркнуто ритмизированного произнесения собственных имен, считалок, дразнилок, стихов. Затем к декламации присоединяются хлопки или постукивания. С помощью таких действий ребенок вводится в мир ритма, начинает постигать и анализировать явления ритма и метра, осваивает на слух и в движении простые ритмические форм</w:t>
      </w:r>
      <w:r w:rsidR="00073923">
        <w:rPr>
          <w:rFonts w:ascii="Times New Roman" w:eastAsia="Calibri" w:hAnsi="Times New Roman" w:cs="Times New Roman"/>
          <w:sz w:val="24"/>
          <w:szCs w:val="24"/>
        </w:rPr>
        <w:t>улы. Ко второму типу относятся о</w:t>
      </w:r>
      <w:r w:rsidRPr="00230CF0">
        <w:rPr>
          <w:rFonts w:ascii="Times New Roman" w:eastAsia="Calibri" w:hAnsi="Times New Roman" w:cs="Times New Roman"/>
          <w:sz w:val="24"/>
          <w:szCs w:val="24"/>
        </w:rPr>
        <w:t xml:space="preserve">бучающие действия, для которых характерна многофункциональность. Они оказывают влияние одновременно на разные стороны формируемого умения или навыка. </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Подготовительный период должен сформировать первоначальные элементарные умения и навыки, которые могут обеспечить плавный переход к чтению с листа. На первых уроках применяется игра в дирижера (активизация ритмического чувства и подготовка рук к пианистическим игровым движениям)</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Например, ритмическое остинато к 2-х дольной пьесе:</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 </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425"/>
        <w:gridCol w:w="567"/>
        <w:gridCol w:w="567"/>
        <w:gridCol w:w="567"/>
      </w:tblGrid>
      <w:tr w:rsidR="00230CF0" w:rsidRPr="00230CF0" w:rsidTr="00BA614F">
        <w:trPr>
          <w:trHeight w:val="593"/>
        </w:trPr>
        <w:tc>
          <w:tcPr>
            <w:tcW w:w="1384" w:type="dxa"/>
          </w:tcPr>
          <w:p w:rsidR="00230CF0" w:rsidRPr="00230CF0" w:rsidRDefault="00230CF0" w:rsidP="00230CF0">
            <w:pPr>
              <w:tabs>
                <w:tab w:val="left" w:pos="0"/>
              </w:tabs>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хлопки   </w:t>
            </w:r>
          </w:p>
        </w:tc>
        <w:tc>
          <w:tcPr>
            <w:tcW w:w="425" w:type="dxa"/>
          </w:tcPr>
          <w:p w:rsidR="00230CF0" w:rsidRPr="00230CF0" w:rsidRDefault="00230CF0" w:rsidP="00230CF0">
            <w:pPr>
              <w:tabs>
                <w:tab w:val="left" w:pos="0"/>
              </w:tabs>
              <w:jc w:val="both"/>
              <w:rPr>
                <w:rFonts w:ascii="Times New Roman" w:eastAsia="Calibri" w:hAnsi="Times New Roman" w:cs="Times New Roman"/>
                <w:sz w:val="24"/>
                <w:szCs w:val="24"/>
              </w:rPr>
            </w:pPr>
          </w:p>
        </w:tc>
        <w:tc>
          <w:tcPr>
            <w:tcW w:w="567" w:type="dxa"/>
            <w:tcBorders>
              <w:right w:val="single" w:sz="4" w:space="0" w:color="auto"/>
            </w:tcBorders>
          </w:tcPr>
          <w:p w:rsidR="00230CF0" w:rsidRPr="00230CF0" w:rsidRDefault="00230CF0" w:rsidP="00230CF0">
            <w:pPr>
              <w:tabs>
                <w:tab w:val="left" w:pos="0"/>
              </w:tabs>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  Π </w:t>
            </w:r>
          </w:p>
        </w:tc>
        <w:tc>
          <w:tcPr>
            <w:tcW w:w="567" w:type="dxa"/>
            <w:tcBorders>
              <w:left w:val="single" w:sz="4" w:space="0" w:color="auto"/>
            </w:tcBorders>
          </w:tcPr>
          <w:p w:rsidR="00230CF0" w:rsidRPr="00230CF0" w:rsidRDefault="00230CF0" w:rsidP="00230CF0">
            <w:pPr>
              <w:tabs>
                <w:tab w:val="left" w:pos="0"/>
              </w:tabs>
              <w:jc w:val="both"/>
              <w:rPr>
                <w:rFonts w:ascii="Times New Roman" w:eastAsia="Calibri" w:hAnsi="Times New Roman" w:cs="Times New Roman"/>
                <w:sz w:val="24"/>
                <w:szCs w:val="24"/>
              </w:rPr>
            </w:pPr>
          </w:p>
        </w:tc>
        <w:tc>
          <w:tcPr>
            <w:tcW w:w="567" w:type="dxa"/>
            <w:tcBorders>
              <w:right w:val="single" w:sz="4" w:space="0" w:color="auto"/>
            </w:tcBorders>
          </w:tcPr>
          <w:p w:rsidR="00230CF0" w:rsidRPr="00230CF0" w:rsidRDefault="00230CF0" w:rsidP="00230CF0">
            <w:pPr>
              <w:tabs>
                <w:tab w:val="left" w:pos="0"/>
              </w:tabs>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Ι</w:t>
            </w:r>
          </w:p>
          <w:p w:rsidR="00230CF0" w:rsidRPr="00230CF0" w:rsidRDefault="00230CF0" w:rsidP="00230CF0">
            <w:pPr>
              <w:tabs>
                <w:tab w:val="left" w:pos="0"/>
              </w:tabs>
              <w:jc w:val="both"/>
              <w:rPr>
                <w:rFonts w:ascii="Times New Roman" w:eastAsia="Calibri" w:hAnsi="Times New Roman" w:cs="Times New Roman"/>
                <w:sz w:val="24"/>
                <w:szCs w:val="24"/>
              </w:rPr>
            </w:pPr>
          </w:p>
        </w:tc>
      </w:tr>
      <w:tr w:rsidR="00230CF0" w:rsidRPr="00230CF0" w:rsidTr="00BA614F">
        <w:tc>
          <w:tcPr>
            <w:tcW w:w="1384" w:type="dxa"/>
          </w:tcPr>
          <w:p w:rsidR="00230CF0" w:rsidRPr="00230CF0" w:rsidRDefault="00230CF0" w:rsidP="00230CF0">
            <w:pPr>
              <w:tabs>
                <w:tab w:val="left" w:pos="0"/>
              </w:tabs>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притопы</w:t>
            </w:r>
          </w:p>
        </w:tc>
        <w:tc>
          <w:tcPr>
            <w:tcW w:w="425" w:type="dxa"/>
          </w:tcPr>
          <w:p w:rsidR="00230CF0" w:rsidRPr="00230CF0" w:rsidRDefault="00230CF0" w:rsidP="00230CF0">
            <w:pPr>
              <w:tabs>
                <w:tab w:val="left" w:pos="0"/>
              </w:tabs>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Ι</w:t>
            </w:r>
          </w:p>
          <w:p w:rsidR="00230CF0" w:rsidRPr="00230CF0" w:rsidRDefault="00230CF0" w:rsidP="00230CF0">
            <w:pPr>
              <w:tabs>
                <w:tab w:val="left" w:pos="0"/>
              </w:tabs>
              <w:jc w:val="both"/>
              <w:rPr>
                <w:rFonts w:ascii="Times New Roman" w:eastAsia="Calibri" w:hAnsi="Times New Roman" w:cs="Times New Roman"/>
                <w:sz w:val="24"/>
                <w:szCs w:val="24"/>
              </w:rPr>
            </w:pPr>
          </w:p>
        </w:tc>
        <w:tc>
          <w:tcPr>
            <w:tcW w:w="567" w:type="dxa"/>
            <w:tcBorders>
              <w:right w:val="single" w:sz="4" w:space="0" w:color="auto"/>
            </w:tcBorders>
          </w:tcPr>
          <w:p w:rsidR="00230CF0" w:rsidRPr="00230CF0" w:rsidRDefault="00230CF0" w:rsidP="00230CF0">
            <w:pPr>
              <w:tabs>
                <w:tab w:val="left" w:pos="0"/>
              </w:tabs>
              <w:jc w:val="both"/>
              <w:rPr>
                <w:rFonts w:ascii="Times New Roman" w:eastAsia="Calibri" w:hAnsi="Times New Roman" w:cs="Times New Roman"/>
                <w:sz w:val="24"/>
                <w:szCs w:val="24"/>
              </w:rPr>
            </w:pPr>
          </w:p>
        </w:tc>
        <w:tc>
          <w:tcPr>
            <w:tcW w:w="567" w:type="dxa"/>
            <w:tcBorders>
              <w:left w:val="single" w:sz="4" w:space="0" w:color="auto"/>
            </w:tcBorders>
          </w:tcPr>
          <w:p w:rsidR="00230CF0" w:rsidRPr="00230CF0" w:rsidRDefault="00230CF0" w:rsidP="00230CF0">
            <w:pPr>
              <w:tabs>
                <w:tab w:val="left" w:pos="0"/>
              </w:tabs>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Ι</w:t>
            </w:r>
          </w:p>
          <w:p w:rsidR="00230CF0" w:rsidRPr="00230CF0" w:rsidRDefault="00230CF0" w:rsidP="00230CF0">
            <w:pPr>
              <w:tabs>
                <w:tab w:val="left" w:pos="0"/>
              </w:tabs>
              <w:jc w:val="both"/>
              <w:rPr>
                <w:rFonts w:ascii="Times New Roman" w:eastAsia="Calibri" w:hAnsi="Times New Roman" w:cs="Times New Roman"/>
                <w:sz w:val="24"/>
                <w:szCs w:val="24"/>
              </w:rPr>
            </w:pPr>
          </w:p>
        </w:tc>
        <w:tc>
          <w:tcPr>
            <w:tcW w:w="567" w:type="dxa"/>
            <w:tcBorders>
              <w:right w:val="single" w:sz="4" w:space="0" w:color="auto"/>
            </w:tcBorders>
          </w:tcPr>
          <w:p w:rsidR="00230CF0" w:rsidRPr="00230CF0" w:rsidRDefault="00230CF0" w:rsidP="00230CF0">
            <w:pPr>
              <w:tabs>
                <w:tab w:val="left" w:pos="0"/>
              </w:tabs>
              <w:jc w:val="both"/>
              <w:rPr>
                <w:rFonts w:ascii="Times New Roman" w:eastAsia="Calibri" w:hAnsi="Times New Roman" w:cs="Times New Roman"/>
                <w:sz w:val="24"/>
                <w:szCs w:val="24"/>
              </w:rPr>
            </w:pPr>
          </w:p>
        </w:tc>
      </w:tr>
    </w:tbl>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К 3-х дольной пьесе:</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425"/>
        <w:gridCol w:w="709"/>
        <w:gridCol w:w="567"/>
        <w:gridCol w:w="567"/>
      </w:tblGrid>
      <w:tr w:rsidR="00230CF0" w:rsidRPr="00230CF0" w:rsidTr="00BA614F">
        <w:trPr>
          <w:trHeight w:val="593"/>
        </w:trPr>
        <w:tc>
          <w:tcPr>
            <w:tcW w:w="1384" w:type="dxa"/>
          </w:tcPr>
          <w:p w:rsidR="00230CF0" w:rsidRPr="00230CF0" w:rsidRDefault="00230CF0" w:rsidP="00230CF0">
            <w:pPr>
              <w:tabs>
                <w:tab w:val="left" w:pos="0"/>
              </w:tabs>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хлопки   </w:t>
            </w:r>
          </w:p>
        </w:tc>
        <w:tc>
          <w:tcPr>
            <w:tcW w:w="425" w:type="dxa"/>
          </w:tcPr>
          <w:p w:rsidR="00230CF0" w:rsidRPr="00230CF0" w:rsidRDefault="00230CF0" w:rsidP="00230CF0">
            <w:pPr>
              <w:tabs>
                <w:tab w:val="left" w:pos="0"/>
              </w:tabs>
              <w:jc w:val="both"/>
              <w:rPr>
                <w:rFonts w:ascii="Times New Roman" w:eastAsia="Calibri" w:hAnsi="Times New Roman" w:cs="Times New Roman"/>
                <w:sz w:val="24"/>
                <w:szCs w:val="24"/>
              </w:rPr>
            </w:pPr>
          </w:p>
        </w:tc>
        <w:tc>
          <w:tcPr>
            <w:tcW w:w="709" w:type="dxa"/>
            <w:tcBorders>
              <w:right w:val="single" w:sz="4" w:space="0" w:color="auto"/>
            </w:tcBorders>
          </w:tcPr>
          <w:p w:rsidR="00230CF0" w:rsidRPr="00230CF0" w:rsidRDefault="00230CF0" w:rsidP="00230CF0">
            <w:pPr>
              <w:tabs>
                <w:tab w:val="left" w:pos="0"/>
              </w:tabs>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  Π Ι</w:t>
            </w:r>
          </w:p>
          <w:p w:rsidR="00230CF0" w:rsidRPr="00230CF0" w:rsidRDefault="00230CF0" w:rsidP="00230CF0">
            <w:pPr>
              <w:tabs>
                <w:tab w:val="left" w:pos="0"/>
              </w:tabs>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 </w:t>
            </w:r>
          </w:p>
        </w:tc>
        <w:tc>
          <w:tcPr>
            <w:tcW w:w="567" w:type="dxa"/>
            <w:tcBorders>
              <w:left w:val="single" w:sz="4" w:space="0" w:color="auto"/>
            </w:tcBorders>
          </w:tcPr>
          <w:p w:rsidR="00230CF0" w:rsidRPr="00230CF0" w:rsidRDefault="00230CF0" w:rsidP="00230CF0">
            <w:pPr>
              <w:tabs>
                <w:tab w:val="left" w:pos="0"/>
              </w:tabs>
              <w:jc w:val="both"/>
              <w:rPr>
                <w:rFonts w:ascii="Times New Roman" w:eastAsia="Calibri" w:hAnsi="Times New Roman" w:cs="Times New Roman"/>
                <w:sz w:val="24"/>
                <w:szCs w:val="24"/>
              </w:rPr>
            </w:pPr>
          </w:p>
        </w:tc>
        <w:tc>
          <w:tcPr>
            <w:tcW w:w="567" w:type="dxa"/>
            <w:tcBorders>
              <w:right w:val="single" w:sz="4" w:space="0" w:color="auto"/>
            </w:tcBorders>
          </w:tcPr>
          <w:p w:rsidR="00230CF0" w:rsidRPr="00230CF0" w:rsidRDefault="00230CF0" w:rsidP="00230CF0">
            <w:pPr>
              <w:tabs>
                <w:tab w:val="left" w:pos="0"/>
              </w:tabs>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Ι Π</w:t>
            </w:r>
          </w:p>
          <w:p w:rsidR="00230CF0" w:rsidRPr="00230CF0" w:rsidRDefault="00230CF0" w:rsidP="00230CF0">
            <w:pPr>
              <w:tabs>
                <w:tab w:val="left" w:pos="0"/>
              </w:tabs>
              <w:jc w:val="both"/>
              <w:rPr>
                <w:rFonts w:ascii="Times New Roman" w:eastAsia="Calibri" w:hAnsi="Times New Roman" w:cs="Times New Roman"/>
                <w:sz w:val="24"/>
                <w:szCs w:val="24"/>
              </w:rPr>
            </w:pPr>
          </w:p>
        </w:tc>
      </w:tr>
      <w:tr w:rsidR="00230CF0" w:rsidRPr="00230CF0" w:rsidTr="00BA614F">
        <w:tc>
          <w:tcPr>
            <w:tcW w:w="1384" w:type="dxa"/>
          </w:tcPr>
          <w:p w:rsidR="00230CF0" w:rsidRPr="00230CF0" w:rsidRDefault="00230CF0" w:rsidP="00230CF0">
            <w:pPr>
              <w:tabs>
                <w:tab w:val="left" w:pos="0"/>
              </w:tabs>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притопы</w:t>
            </w:r>
          </w:p>
        </w:tc>
        <w:tc>
          <w:tcPr>
            <w:tcW w:w="425" w:type="dxa"/>
          </w:tcPr>
          <w:p w:rsidR="00230CF0" w:rsidRPr="00230CF0" w:rsidRDefault="00230CF0" w:rsidP="00230CF0">
            <w:pPr>
              <w:tabs>
                <w:tab w:val="left" w:pos="0"/>
              </w:tabs>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Ι</w:t>
            </w:r>
          </w:p>
          <w:p w:rsidR="00230CF0" w:rsidRPr="00230CF0" w:rsidRDefault="00230CF0" w:rsidP="00230CF0">
            <w:pPr>
              <w:tabs>
                <w:tab w:val="left" w:pos="0"/>
              </w:tabs>
              <w:jc w:val="both"/>
              <w:rPr>
                <w:rFonts w:ascii="Times New Roman" w:eastAsia="Calibri" w:hAnsi="Times New Roman" w:cs="Times New Roman"/>
                <w:sz w:val="24"/>
                <w:szCs w:val="24"/>
              </w:rPr>
            </w:pPr>
          </w:p>
        </w:tc>
        <w:tc>
          <w:tcPr>
            <w:tcW w:w="709" w:type="dxa"/>
            <w:tcBorders>
              <w:right w:val="single" w:sz="4" w:space="0" w:color="auto"/>
            </w:tcBorders>
          </w:tcPr>
          <w:p w:rsidR="00230CF0" w:rsidRPr="00230CF0" w:rsidRDefault="00230CF0" w:rsidP="00230CF0">
            <w:pPr>
              <w:tabs>
                <w:tab w:val="left" w:pos="0"/>
              </w:tabs>
              <w:jc w:val="both"/>
              <w:rPr>
                <w:rFonts w:ascii="Times New Roman" w:eastAsia="Calibri" w:hAnsi="Times New Roman" w:cs="Times New Roman"/>
                <w:sz w:val="24"/>
                <w:szCs w:val="24"/>
              </w:rPr>
            </w:pPr>
          </w:p>
        </w:tc>
        <w:tc>
          <w:tcPr>
            <w:tcW w:w="567" w:type="dxa"/>
            <w:tcBorders>
              <w:left w:val="single" w:sz="4" w:space="0" w:color="auto"/>
            </w:tcBorders>
          </w:tcPr>
          <w:p w:rsidR="00230CF0" w:rsidRPr="00230CF0" w:rsidRDefault="00230CF0" w:rsidP="00230CF0">
            <w:pPr>
              <w:tabs>
                <w:tab w:val="left" w:pos="0"/>
              </w:tabs>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Ι</w:t>
            </w:r>
          </w:p>
          <w:p w:rsidR="00230CF0" w:rsidRPr="00230CF0" w:rsidRDefault="00230CF0" w:rsidP="00230CF0">
            <w:pPr>
              <w:tabs>
                <w:tab w:val="left" w:pos="0"/>
              </w:tabs>
              <w:jc w:val="both"/>
              <w:rPr>
                <w:rFonts w:ascii="Times New Roman" w:eastAsia="Calibri" w:hAnsi="Times New Roman" w:cs="Times New Roman"/>
                <w:sz w:val="24"/>
                <w:szCs w:val="24"/>
              </w:rPr>
            </w:pPr>
          </w:p>
        </w:tc>
        <w:tc>
          <w:tcPr>
            <w:tcW w:w="567" w:type="dxa"/>
            <w:tcBorders>
              <w:right w:val="single" w:sz="4" w:space="0" w:color="auto"/>
            </w:tcBorders>
          </w:tcPr>
          <w:p w:rsidR="00230CF0" w:rsidRPr="00230CF0" w:rsidRDefault="00230CF0" w:rsidP="00230CF0">
            <w:pPr>
              <w:tabs>
                <w:tab w:val="left" w:pos="0"/>
              </w:tabs>
              <w:jc w:val="both"/>
              <w:rPr>
                <w:rFonts w:ascii="Times New Roman" w:eastAsia="Calibri" w:hAnsi="Times New Roman" w:cs="Times New Roman"/>
                <w:sz w:val="24"/>
                <w:szCs w:val="24"/>
              </w:rPr>
            </w:pPr>
          </w:p>
        </w:tc>
      </w:tr>
    </w:tbl>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Эффект, достигаемый при помощи ритмической игры (где ученик превращается в исполнителя на ударных инструментах) широк: ребенок становится активным участником исполнения, сознательно управляет своими двигательными реакциями, одновременно слушает и активно действует, воспроизводя ритмическое остинато.</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Первоначальному изображению ритма соответствуют различные по длине графические линии (четверти и восьмые). Так, ритм песен типа «Андрей-воробей» записывается так:</w:t>
      </w:r>
    </w:p>
    <w:p w:rsidR="00230CF0" w:rsidRPr="00230CF0" w:rsidRDefault="00230CF0" w:rsidP="00230CF0">
      <w:pPr>
        <w:tabs>
          <w:tab w:val="left" w:pos="0"/>
        </w:tabs>
        <w:spacing w:after="200" w:line="276" w:lineRule="auto"/>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              Ι     </w:t>
      </w:r>
      <w:proofErr w:type="spellStart"/>
      <w:r w:rsidRPr="00230CF0">
        <w:rPr>
          <w:rFonts w:ascii="Times New Roman" w:eastAsia="Calibri" w:hAnsi="Times New Roman" w:cs="Times New Roman"/>
          <w:sz w:val="24"/>
          <w:szCs w:val="24"/>
        </w:rPr>
        <w:t>Ι</w:t>
      </w:r>
      <w:proofErr w:type="spellEnd"/>
      <w:r w:rsidRPr="00230CF0">
        <w:rPr>
          <w:rFonts w:ascii="Times New Roman" w:eastAsia="Calibri" w:hAnsi="Times New Roman" w:cs="Times New Roman"/>
          <w:sz w:val="24"/>
          <w:szCs w:val="24"/>
        </w:rPr>
        <w:t xml:space="preserve">      Π        Ι       Π      Ι      Π     Ι</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proofErr w:type="gramStart"/>
      <w:r w:rsidRPr="00230CF0">
        <w:rPr>
          <w:rFonts w:ascii="Times New Roman" w:eastAsia="Calibri" w:hAnsi="Times New Roman" w:cs="Times New Roman"/>
          <w:sz w:val="24"/>
          <w:szCs w:val="24"/>
        </w:rPr>
        <w:t>Анд-рей</w:t>
      </w:r>
      <w:proofErr w:type="gramEnd"/>
      <w:r w:rsidRPr="00230CF0">
        <w:rPr>
          <w:rFonts w:ascii="Times New Roman" w:eastAsia="Calibri" w:hAnsi="Times New Roman" w:cs="Times New Roman"/>
          <w:sz w:val="24"/>
          <w:szCs w:val="24"/>
        </w:rPr>
        <w:t xml:space="preserve"> во-</w:t>
      </w:r>
      <w:proofErr w:type="spellStart"/>
      <w:r w:rsidRPr="00230CF0">
        <w:rPr>
          <w:rFonts w:ascii="Times New Roman" w:eastAsia="Calibri" w:hAnsi="Times New Roman" w:cs="Times New Roman"/>
          <w:sz w:val="24"/>
          <w:szCs w:val="24"/>
        </w:rPr>
        <w:t>ро</w:t>
      </w:r>
      <w:proofErr w:type="spellEnd"/>
      <w:r w:rsidRPr="00230CF0">
        <w:rPr>
          <w:rFonts w:ascii="Times New Roman" w:eastAsia="Calibri" w:hAnsi="Times New Roman" w:cs="Times New Roman"/>
          <w:sz w:val="24"/>
          <w:szCs w:val="24"/>
        </w:rPr>
        <w:t xml:space="preserve">-бей не </w:t>
      </w:r>
      <w:proofErr w:type="spellStart"/>
      <w:r w:rsidRPr="00230CF0">
        <w:rPr>
          <w:rFonts w:ascii="Times New Roman" w:eastAsia="Calibri" w:hAnsi="Times New Roman" w:cs="Times New Roman"/>
          <w:sz w:val="24"/>
          <w:szCs w:val="24"/>
        </w:rPr>
        <w:t>го-няй</w:t>
      </w:r>
      <w:proofErr w:type="spellEnd"/>
      <w:r w:rsidRPr="00230CF0">
        <w:rPr>
          <w:rFonts w:ascii="Times New Roman" w:eastAsia="Calibri" w:hAnsi="Times New Roman" w:cs="Times New Roman"/>
          <w:sz w:val="24"/>
          <w:szCs w:val="24"/>
        </w:rPr>
        <w:t xml:space="preserve"> </w:t>
      </w:r>
      <w:proofErr w:type="spellStart"/>
      <w:r w:rsidRPr="00230CF0">
        <w:rPr>
          <w:rFonts w:ascii="Times New Roman" w:eastAsia="Calibri" w:hAnsi="Times New Roman" w:cs="Times New Roman"/>
          <w:sz w:val="24"/>
          <w:szCs w:val="24"/>
        </w:rPr>
        <w:t>го</w:t>
      </w:r>
      <w:proofErr w:type="spellEnd"/>
      <w:r w:rsidRPr="00230CF0">
        <w:rPr>
          <w:rFonts w:ascii="Times New Roman" w:eastAsia="Calibri" w:hAnsi="Times New Roman" w:cs="Times New Roman"/>
          <w:sz w:val="24"/>
          <w:szCs w:val="24"/>
        </w:rPr>
        <w:t>-</w:t>
      </w:r>
      <w:proofErr w:type="spellStart"/>
      <w:r w:rsidRPr="00230CF0">
        <w:rPr>
          <w:rFonts w:ascii="Times New Roman" w:eastAsia="Calibri" w:hAnsi="Times New Roman" w:cs="Times New Roman"/>
          <w:sz w:val="24"/>
          <w:szCs w:val="24"/>
        </w:rPr>
        <w:t>лу</w:t>
      </w:r>
      <w:proofErr w:type="spellEnd"/>
      <w:r w:rsidRPr="00230CF0">
        <w:rPr>
          <w:rFonts w:ascii="Times New Roman" w:eastAsia="Calibri" w:hAnsi="Times New Roman" w:cs="Times New Roman"/>
          <w:sz w:val="24"/>
          <w:szCs w:val="24"/>
        </w:rPr>
        <w:t>-бей</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После этого ученик получает задание записывать ритм песенок, которые ему знакомы. В ходе двигательных упражнений важно обратить внимание на паузу. Помочь ему в этом может специальный жест, обозначающий паузу - выразительное движение рук в стороны. </w:t>
      </w:r>
      <w:r w:rsidRPr="00230CF0">
        <w:rPr>
          <w:rFonts w:ascii="Times New Roman" w:eastAsia="Calibri" w:hAnsi="Times New Roman" w:cs="Times New Roman"/>
          <w:sz w:val="24"/>
          <w:szCs w:val="24"/>
        </w:rPr>
        <w:lastRenderedPageBreak/>
        <w:t>Одновременно вводится графическое написание паузы. Усложнение ритмических остинато идет по 3 линиям:</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Вводятся новые размеры, 3-х и 4-х дольные</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Удлиняются </w:t>
      </w:r>
      <w:proofErr w:type="spellStart"/>
      <w:r w:rsidRPr="00230CF0">
        <w:rPr>
          <w:rFonts w:ascii="Times New Roman" w:eastAsia="Calibri" w:hAnsi="Times New Roman" w:cs="Times New Roman"/>
          <w:sz w:val="24"/>
          <w:szCs w:val="24"/>
        </w:rPr>
        <w:t>остинатные</w:t>
      </w:r>
      <w:proofErr w:type="spellEnd"/>
      <w:r w:rsidRPr="00230CF0">
        <w:rPr>
          <w:rFonts w:ascii="Times New Roman" w:eastAsia="Calibri" w:hAnsi="Times New Roman" w:cs="Times New Roman"/>
          <w:sz w:val="24"/>
          <w:szCs w:val="24"/>
        </w:rPr>
        <w:t xml:space="preserve"> ритмические группы по 2, 3 такта</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Появляются элементы </w:t>
      </w:r>
      <w:proofErr w:type="spellStart"/>
      <w:r w:rsidRPr="00230CF0">
        <w:rPr>
          <w:rFonts w:ascii="Times New Roman" w:eastAsia="Calibri" w:hAnsi="Times New Roman" w:cs="Times New Roman"/>
          <w:sz w:val="24"/>
          <w:szCs w:val="24"/>
        </w:rPr>
        <w:t>ритмо</w:t>
      </w:r>
      <w:proofErr w:type="spellEnd"/>
      <w:r w:rsidRPr="00230CF0">
        <w:rPr>
          <w:rFonts w:ascii="Times New Roman" w:eastAsia="Calibri" w:hAnsi="Times New Roman" w:cs="Times New Roman"/>
          <w:sz w:val="24"/>
          <w:szCs w:val="24"/>
        </w:rPr>
        <w:t xml:space="preserve">-двигательной полифонии: ритмическая фигура расслаивается на 2 линии </w:t>
      </w:r>
      <w:r w:rsidR="00073923">
        <w:rPr>
          <w:rFonts w:ascii="Times New Roman" w:eastAsia="Calibri" w:hAnsi="Times New Roman" w:cs="Times New Roman"/>
          <w:sz w:val="24"/>
          <w:szCs w:val="24"/>
        </w:rPr>
        <w:t>и воспроизводится обеими руками</w:t>
      </w:r>
      <w:r w:rsidRPr="00230CF0">
        <w:rPr>
          <w:rFonts w:ascii="Times New Roman" w:eastAsia="Calibri" w:hAnsi="Times New Roman" w:cs="Times New Roman"/>
          <w:sz w:val="24"/>
          <w:szCs w:val="24"/>
        </w:rPr>
        <w:t xml:space="preserve">. </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Ученик приучается распределять внимание по вертикали, объем его зрительного внимания увеличивается.</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Связь внешней формы знаков альтерации с конкретным жизненным явлением или предметом поможет ребенку понять смысл знака, его функцию. Например, диез похож на лесенку, по которой нота поднимается вверх. Бемоль можно сравнить с мягким креслом, в которое опускается нота, а бекар - со сломанным стулом, с которого падают знаки. </w:t>
      </w:r>
    </w:p>
    <w:p w:rsidR="00230CF0" w:rsidRPr="00230CF0" w:rsidRDefault="00230CF0" w:rsidP="00230CF0">
      <w:pPr>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Существенную часть методики обучения чтению с листа составляют специальные упражнения и действия, развивающие технику зрительно- слухового восприятия и исполнения нотного текста на инструменте. Начнем с вопросов, связанных с </w:t>
      </w:r>
      <w:proofErr w:type="gramStart"/>
      <w:r w:rsidRPr="00230CF0">
        <w:rPr>
          <w:rFonts w:ascii="Times New Roman" w:eastAsia="Calibri" w:hAnsi="Times New Roman" w:cs="Times New Roman"/>
          <w:sz w:val="24"/>
          <w:szCs w:val="24"/>
        </w:rPr>
        <w:t>исполнением  хотя</w:t>
      </w:r>
      <w:proofErr w:type="gramEnd"/>
      <w:r w:rsidRPr="00230CF0">
        <w:rPr>
          <w:rFonts w:ascii="Times New Roman" w:eastAsia="Calibri" w:hAnsi="Times New Roman" w:cs="Times New Roman"/>
          <w:sz w:val="24"/>
          <w:szCs w:val="24"/>
        </w:rPr>
        <w:t xml:space="preserve"> первичным в процессе игры по нотам является восприятие текста. Такой порядок представляется логичным потому, что </w:t>
      </w:r>
      <w:r w:rsidR="00073923">
        <w:rPr>
          <w:rFonts w:ascii="Times New Roman" w:eastAsia="Calibri" w:hAnsi="Times New Roman" w:cs="Times New Roman"/>
          <w:sz w:val="24"/>
          <w:szCs w:val="24"/>
        </w:rPr>
        <w:t>действия, связанные с моторикой</w:t>
      </w:r>
      <w:r w:rsidRPr="00230CF0">
        <w:rPr>
          <w:rFonts w:ascii="Times New Roman" w:eastAsia="Calibri" w:hAnsi="Times New Roman" w:cs="Times New Roman"/>
          <w:sz w:val="24"/>
          <w:szCs w:val="24"/>
        </w:rPr>
        <w:t>, являются наиболее элементарным звеном формируемого навыка. Гибкость, быстрота и точность двигательной реакции на зрительно- слуховой образ служит прочной основой навыка игры по нотам. Быстрота и точность действий пианиста в ответ на сигналы нотно</w:t>
      </w:r>
      <w:r w:rsidR="00073923">
        <w:rPr>
          <w:rFonts w:ascii="Times New Roman" w:eastAsia="Calibri" w:hAnsi="Times New Roman" w:cs="Times New Roman"/>
          <w:sz w:val="24"/>
          <w:szCs w:val="24"/>
        </w:rPr>
        <w:t xml:space="preserve">го текста требует тщательного, </w:t>
      </w:r>
      <w:r w:rsidRPr="00230CF0">
        <w:rPr>
          <w:rFonts w:ascii="Times New Roman" w:eastAsia="Calibri" w:hAnsi="Times New Roman" w:cs="Times New Roman"/>
          <w:sz w:val="24"/>
          <w:szCs w:val="24"/>
        </w:rPr>
        <w:t xml:space="preserve">направленного развития. Должна быть сформирована свободная, не нуждающаяся в постоянной поддержке зрением, ориентировка рук и пальцев на клавиатуре. </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При игре по нотам полное отключение зрительного контроля за действием рук, использование «слепого метода» невозможно, но умение ориентироваться на клавиатуре без помощи зрения может быть развито до высокой степени. Формирование такой ориентировки начинается в процессе исполнения гамм и упражнений. Ребенок выучивает гамму в 1 октаву и затем играет ее разными штрихами, не глядя на руки (гаммы содержащие черные клавиши). Аналогичную роль выполняют различные технические упражнения в одной позиции. Они исполняются от разных клавиш той же аппликатурой, но в различных артикуляционных вариантах. Чтобы исключить подсматривание ученика за действиями рук, педагог держит над клавиатурой плотный лист бумаги. При исполнении пьес, изобилующих широкими ходами и скачками, приходит на помощь рациональная посадка за инструментом, при которой в поле зрения исполнителя оказывается одновременно и нотный текст, и руки на клавиатуре. Также создаются условия для приспособления зрения. Ученик читает только тот текст, который расположен в нижней части нотной страницы. 2 </w:t>
      </w:r>
      <w:r w:rsidRPr="00230CF0">
        <w:rPr>
          <w:rFonts w:ascii="Times New Roman" w:eastAsia="Calibri" w:hAnsi="Times New Roman" w:cs="Times New Roman"/>
          <w:sz w:val="24"/>
          <w:szCs w:val="24"/>
        </w:rPr>
        <w:lastRenderedPageBreak/>
        <w:t>последние строки попадают в фокус зрения, руки и клавиатура оказываются в сфере периферического зрения: исполнитель видит смутные очертания рук на клавиатуре. В дальнейшем в ходе упражнений контуры рук и клавиатуры становятся более отчетливыми, и потом эта отчетливость сохраняется и при чтении верхних строчек. Аппликатура основных фортепианных технических форм должна быть усвоена учеником настолько прочно, чтобы</w:t>
      </w:r>
      <w:r w:rsidR="00073923">
        <w:rPr>
          <w:rFonts w:ascii="Times New Roman" w:eastAsia="Calibri" w:hAnsi="Times New Roman" w:cs="Times New Roman"/>
          <w:sz w:val="24"/>
          <w:szCs w:val="24"/>
        </w:rPr>
        <w:t>,</w:t>
      </w:r>
      <w:r w:rsidRPr="00230CF0">
        <w:rPr>
          <w:rFonts w:ascii="Times New Roman" w:eastAsia="Calibri" w:hAnsi="Times New Roman" w:cs="Times New Roman"/>
          <w:sz w:val="24"/>
          <w:szCs w:val="24"/>
        </w:rPr>
        <w:t xml:space="preserve"> встретив в произведении ту или иную техническую фигуру, пальцы сами собой занимали нужную позицию. Аппликатурные упражнения дают наибольший эффект, если они сочетаются с работой по освоению клавиатуры «слепым методом» На пюпитре карточки с аппликатурными заданиями и записью предложенной ритмической фигуры. Мотивы исполняются от разных звуков с черными клавишами каждой рукой отдельно, затем одновременно обеими руками. Предл</w:t>
      </w:r>
      <w:r w:rsidR="00073923">
        <w:rPr>
          <w:rFonts w:ascii="Times New Roman" w:eastAsia="Calibri" w:hAnsi="Times New Roman" w:cs="Times New Roman"/>
          <w:sz w:val="24"/>
          <w:szCs w:val="24"/>
        </w:rPr>
        <w:t xml:space="preserve">агаемые упражнения выполняются </w:t>
      </w:r>
      <w:r w:rsidRPr="00230CF0">
        <w:rPr>
          <w:rFonts w:ascii="Times New Roman" w:eastAsia="Calibri" w:hAnsi="Times New Roman" w:cs="Times New Roman"/>
          <w:sz w:val="24"/>
          <w:szCs w:val="24"/>
        </w:rPr>
        <w:t>без зрительного контроля, то есть «слепым методом» Они воспитывают быструю и точную реакцию пальцев на ритмические и аппликатурные обозначения, вырабатывают устойчивую ориентировку рук на клавиатуре. Затем те же мотивы предлагаются ученику в виде полного нотного текста. Параллельно начинается выработка аппликатурной реакции на интервалы и аккорды. Важно воспитать навык опознания интервала или аккорда</w:t>
      </w:r>
      <w:r w:rsidR="00073923">
        <w:rPr>
          <w:rFonts w:ascii="Times New Roman" w:eastAsia="Calibri" w:hAnsi="Times New Roman" w:cs="Times New Roman"/>
          <w:sz w:val="24"/>
          <w:szCs w:val="24"/>
        </w:rPr>
        <w:t>,</w:t>
      </w:r>
      <w:r w:rsidRPr="00230CF0">
        <w:rPr>
          <w:rFonts w:ascii="Times New Roman" w:eastAsia="Calibri" w:hAnsi="Times New Roman" w:cs="Times New Roman"/>
          <w:sz w:val="24"/>
          <w:szCs w:val="24"/>
        </w:rPr>
        <w:t xml:space="preserve"> но рисунку (относительному расстоянию между нотами) на любом участке нотного стана, включая добавочные линейки, мгновенную реакцию пальцев на основе типовых аппликатурных формул: секунда- соседние пальцы, терция- через палец, кварта- через 2 пальца, квинта, секста, септима и октава- крайние пальцы. Необходимо вовремя приступить к расширению набора аппликатурных вариантов. В упражнениях ученик встречается с фортепианной вертикалью из 4 голосов. Внимание следует направить на нижнюю строчку нотного стана. Партия правой руки прочитывается непроизвольно. Также закладываются основы относительного чтения - зрительно воспринимая нижнюю ноту по месту знака на нотоносце (абсолютно), остальные ноты - по расстоянию между соседними нотами(относительно). Освоению аппликатурных позиций в аккордах может помочь таблица- схема, где аккорды предстают в обобщенном виде. Аппликатурная реакция на аккорды отрабатывается при помощи карточек (карточка предъявляется ученику и тут же убирается, ученик опознает аккорд зрительно, мысленно представляет аппликатурную позицию и исполняет его). </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Причину плохой ориентировки при чтении с листа нужно искать в поверхностном усвоении основ музыкальной грамоты, не увязанном с особенност</w:t>
      </w:r>
      <w:r w:rsidR="00073923">
        <w:rPr>
          <w:rFonts w:ascii="Times New Roman" w:eastAsia="Calibri" w:hAnsi="Times New Roman" w:cs="Times New Roman"/>
          <w:sz w:val="24"/>
          <w:szCs w:val="24"/>
        </w:rPr>
        <w:t>ями инструмента. Ряд упражнений</w:t>
      </w:r>
      <w:r w:rsidRPr="00230CF0">
        <w:rPr>
          <w:rFonts w:ascii="Times New Roman" w:eastAsia="Calibri" w:hAnsi="Times New Roman" w:cs="Times New Roman"/>
          <w:sz w:val="24"/>
          <w:szCs w:val="24"/>
        </w:rPr>
        <w:t>, к которым следует периодически возвращаться, должен помочь выработке у ученика четкой зрительно-</w:t>
      </w:r>
      <w:proofErr w:type="spellStart"/>
      <w:r w:rsidRPr="00230CF0">
        <w:rPr>
          <w:rFonts w:ascii="Times New Roman" w:eastAsia="Calibri" w:hAnsi="Times New Roman" w:cs="Times New Roman"/>
          <w:sz w:val="24"/>
          <w:szCs w:val="24"/>
        </w:rPr>
        <w:t>слухо</w:t>
      </w:r>
      <w:proofErr w:type="spellEnd"/>
      <w:r w:rsidRPr="00230CF0">
        <w:rPr>
          <w:rFonts w:ascii="Times New Roman" w:eastAsia="Calibri" w:hAnsi="Times New Roman" w:cs="Times New Roman"/>
          <w:sz w:val="24"/>
          <w:szCs w:val="24"/>
        </w:rPr>
        <w:t>-моторной реакции на нотный знак. Все упражнения должны быть направлены к достижению двух основных ц</w:t>
      </w:r>
      <w:r w:rsidR="00073923">
        <w:rPr>
          <w:rFonts w:ascii="Times New Roman" w:eastAsia="Calibri" w:hAnsi="Times New Roman" w:cs="Times New Roman"/>
          <w:sz w:val="24"/>
          <w:szCs w:val="24"/>
        </w:rPr>
        <w:t xml:space="preserve">елей: 1) </w:t>
      </w:r>
      <w:r w:rsidRPr="00230CF0">
        <w:rPr>
          <w:rFonts w:ascii="Times New Roman" w:eastAsia="Calibri" w:hAnsi="Times New Roman" w:cs="Times New Roman"/>
          <w:sz w:val="24"/>
          <w:szCs w:val="24"/>
        </w:rPr>
        <w:t xml:space="preserve">к чтению нот, следя за </w:t>
      </w:r>
      <w:r w:rsidRPr="00230CF0">
        <w:rPr>
          <w:rFonts w:ascii="Times New Roman" w:eastAsia="Calibri" w:hAnsi="Times New Roman" w:cs="Times New Roman"/>
          <w:sz w:val="24"/>
          <w:szCs w:val="24"/>
        </w:rPr>
        <w:lastRenderedPageBreak/>
        <w:t>графической линией направления мелодии, и 2) к воспроизведению ее на инструменте, не глядя на клавиатуру. Так будет усвоен «графический» и «слепой» метод игры по нотам.</w:t>
      </w:r>
    </w:p>
    <w:p w:rsidR="00230CF0" w:rsidRPr="00230CF0" w:rsidRDefault="00073923" w:rsidP="00230CF0">
      <w:pPr>
        <w:tabs>
          <w:tab w:val="left" w:pos="0"/>
        </w:tabs>
        <w:spacing w:after="0" w:line="36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Сначала ученик играет наизусть</w:t>
      </w:r>
      <w:r w:rsidR="00230CF0" w:rsidRPr="00230CF0">
        <w:rPr>
          <w:rFonts w:ascii="Times New Roman" w:eastAsia="Calibri" w:hAnsi="Times New Roman" w:cs="Times New Roman"/>
          <w:sz w:val="24"/>
          <w:szCs w:val="24"/>
        </w:rPr>
        <w:t xml:space="preserve"> записанную им </w:t>
      </w:r>
      <w:proofErr w:type="spellStart"/>
      <w:r w:rsidR="00230CF0" w:rsidRPr="00230CF0">
        <w:rPr>
          <w:rFonts w:ascii="Times New Roman" w:eastAsia="Calibri" w:hAnsi="Times New Roman" w:cs="Times New Roman"/>
          <w:sz w:val="24"/>
          <w:szCs w:val="24"/>
        </w:rPr>
        <w:t>попевку</w:t>
      </w:r>
      <w:proofErr w:type="spellEnd"/>
      <w:r w:rsidR="00230CF0" w:rsidRPr="00230CF0">
        <w:rPr>
          <w:rFonts w:ascii="Times New Roman" w:eastAsia="Calibri" w:hAnsi="Times New Roman" w:cs="Times New Roman"/>
          <w:sz w:val="24"/>
          <w:szCs w:val="24"/>
        </w:rPr>
        <w:t xml:space="preserve"> и</w:t>
      </w:r>
      <w:r>
        <w:rPr>
          <w:rFonts w:ascii="Times New Roman" w:eastAsia="Calibri" w:hAnsi="Times New Roman" w:cs="Times New Roman"/>
          <w:sz w:val="24"/>
          <w:szCs w:val="24"/>
        </w:rPr>
        <w:t xml:space="preserve"> произносит вслух слова: «</w:t>
      </w:r>
      <w:r w:rsidR="00230CF0" w:rsidRPr="00230CF0">
        <w:rPr>
          <w:rFonts w:ascii="Times New Roman" w:eastAsia="Calibri" w:hAnsi="Times New Roman" w:cs="Times New Roman"/>
          <w:sz w:val="24"/>
          <w:szCs w:val="24"/>
        </w:rPr>
        <w:t xml:space="preserve">рядом, ниже», «та же» и т.д.; пальцы при этом переставляет, следуя основным правилам аппликатуры. Затем ученик повторяет это упражнение, не глядя на клавиатуру. После этого он повторяет эту </w:t>
      </w:r>
      <w:proofErr w:type="spellStart"/>
      <w:r w:rsidR="00230CF0" w:rsidRPr="00230CF0">
        <w:rPr>
          <w:rFonts w:ascii="Times New Roman" w:eastAsia="Calibri" w:hAnsi="Times New Roman" w:cs="Times New Roman"/>
          <w:sz w:val="24"/>
          <w:szCs w:val="24"/>
        </w:rPr>
        <w:t>попевку</w:t>
      </w:r>
      <w:proofErr w:type="spellEnd"/>
      <w:r w:rsidR="00230CF0" w:rsidRPr="00230CF0">
        <w:rPr>
          <w:rFonts w:ascii="Times New Roman" w:eastAsia="Calibri" w:hAnsi="Times New Roman" w:cs="Times New Roman"/>
          <w:sz w:val="24"/>
          <w:szCs w:val="24"/>
        </w:rPr>
        <w:t>, не глядя на клавиатуру, но гляд</w:t>
      </w:r>
      <w:r>
        <w:rPr>
          <w:rFonts w:ascii="Times New Roman" w:eastAsia="Calibri" w:hAnsi="Times New Roman" w:cs="Times New Roman"/>
          <w:sz w:val="24"/>
          <w:szCs w:val="24"/>
        </w:rPr>
        <w:t>я в ноты, и произносит так же: «</w:t>
      </w:r>
      <w:r w:rsidR="00230CF0" w:rsidRPr="00230CF0">
        <w:rPr>
          <w:rFonts w:ascii="Times New Roman" w:eastAsia="Calibri" w:hAnsi="Times New Roman" w:cs="Times New Roman"/>
          <w:sz w:val="24"/>
          <w:szCs w:val="24"/>
        </w:rPr>
        <w:t>выше», «ниже», «рядом».</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proofErr w:type="spellStart"/>
      <w:r w:rsidRPr="00230CF0">
        <w:rPr>
          <w:rFonts w:ascii="Times New Roman" w:eastAsia="Calibri" w:hAnsi="Times New Roman" w:cs="Times New Roman"/>
          <w:sz w:val="24"/>
          <w:szCs w:val="24"/>
        </w:rPr>
        <w:t>Слухо</w:t>
      </w:r>
      <w:proofErr w:type="spellEnd"/>
      <w:r w:rsidRPr="00230CF0">
        <w:rPr>
          <w:rFonts w:ascii="Times New Roman" w:eastAsia="Calibri" w:hAnsi="Times New Roman" w:cs="Times New Roman"/>
          <w:sz w:val="24"/>
          <w:szCs w:val="24"/>
        </w:rPr>
        <w:t>-зрительные навыки развиваются, когда ученик, слушая игру педагога, одновременно следит за графическим рисунком исполняемой песни и произносит слова, определяющие расстояние между звуками («рядом», «через одну» и т.д.)</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Для развития навыка «слепого» метода чтения нот ученику нужно преодолеть «боязнь клавиатуры». На первых порах педагог должен спокойно относиться к неизбежным промахам движения пальцев ученика и заставлять его исправлять эти ошибки, не глядя на пальцы, руководствуясь слухом и осязанием - тактильным чувством. Иногда приходится держать под подбородком ученика нотную тетрадь, для того, чтобы он не смотрел на клавиатуру.</w:t>
      </w:r>
    </w:p>
    <w:p w:rsidR="00230CF0" w:rsidRPr="00230CF0" w:rsidRDefault="00230CF0" w:rsidP="00230CF0">
      <w:pPr>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Навык быстрого охвата нотного текста по вертикали развивается при помощи следующих упражнений. Аккордовая последовательность исполняется в форме гармонической фигурации, начиная от баса. Текст, изложенный</w:t>
      </w:r>
      <w:r w:rsidR="00073923">
        <w:rPr>
          <w:rFonts w:ascii="Times New Roman" w:eastAsia="Calibri" w:hAnsi="Times New Roman" w:cs="Times New Roman"/>
          <w:sz w:val="24"/>
          <w:szCs w:val="24"/>
        </w:rPr>
        <w:t xml:space="preserve"> в виде гармонической фигурации</w:t>
      </w:r>
      <w:r w:rsidRPr="00230CF0">
        <w:rPr>
          <w:rFonts w:ascii="Times New Roman" w:eastAsia="Calibri" w:hAnsi="Times New Roman" w:cs="Times New Roman"/>
          <w:sz w:val="24"/>
          <w:szCs w:val="24"/>
        </w:rPr>
        <w:t xml:space="preserve">, играется аккордами (сжимается). Упражнение помогает выработать умение быстро определять гармоническую логику арпеджированного текста, ускоряя восприятие развернутой вертикали. Оно имеет отношение не только к навыку вертикального чтения, но и способствует охвату горизонтали, которая имеет аккордово - мелодическую основу. </w:t>
      </w:r>
    </w:p>
    <w:p w:rsidR="00230CF0" w:rsidRPr="00230CF0" w:rsidRDefault="00230CF0" w:rsidP="00230CF0">
      <w:pPr>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Игра с листа представляет собой воссоздание инструментальными средствами предварительного звукового образа, программы, возникающей в сознании музыканта при взгляде на нотный текст. Непрерывность развертывания этой программы- задания, без которой не может быть связного и выразительного исполнения по нотам, возможна лишь в том случае, если исполнитель приблизительно заранее представляет ближайшее продолжение текста. Возможность предугадать развитие текста зависит от объема и прочности зрительной, слуховой и двигательной памяти музыканта, а также от умения воспринимать текст не </w:t>
      </w:r>
      <w:proofErr w:type="spellStart"/>
      <w:r w:rsidRPr="00230CF0">
        <w:rPr>
          <w:rFonts w:ascii="Times New Roman" w:eastAsia="Calibri" w:hAnsi="Times New Roman" w:cs="Times New Roman"/>
          <w:sz w:val="24"/>
          <w:szCs w:val="24"/>
        </w:rPr>
        <w:t>раздробленно</w:t>
      </w:r>
      <w:proofErr w:type="spellEnd"/>
      <w:r w:rsidRPr="00230CF0">
        <w:rPr>
          <w:rFonts w:ascii="Times New Roman" w:eastAsia="Calibri" w:hAnsi="Times New Roman" w:cs="Times New Roman"/>
          <w:sz w:val="24"/>
          <w:szCs w:val="24"/>
        </w:rPr>
        <w:t>, а структурно, по круп</w:t>
      </w:r>
      <w:r w:rsidR="00073923">
        <w:rPr>
          <w:rFonts w:ascii="Times New Roman" w:eastAsia="Calibri" w:hAnsi="Times New Roman" w:cs="Times New Roman"/>
          <w:sz w:val="24"/>
          <w:szCs w:val="24"/>
        </w:rPr>
        <w:t xml:space="preserve">ным смысловым единицам. Важным </w:t>
      </w:r>
      <w:r w:rsidRPr="00230CF0">
        <w:rPr>
          <w:rFonts w:ascii="Times New Roman" w:eastAsia="Calibri" w:hAnsi="Times New Roman" w:cs="Times New Roman"/>
          <w:sz w:val="24"/>
          <w:szCs w:val="24"/>
        </w:rPr>
        <w:t xml:space="preserve">звеном навыка чтения с листа является техника ускоренного чтения нотной графики, умение свободно ориентироваться на клавиатуре, не глядя </w:t>
      </w:r>
      <w:r w:rsidR="00073923">
        <w:rPr>
          <w:rFonts w:ascii="Times New Roman" w:eastAsia="Calibri" w:hAnsi="Times New Roman" w:cs="Times New Roman"/>
          <w:sz w:val="24"/>
          <w:szCs w:val="24"/>
        </w:rPr>
        <w:t>на руки, быстро (</w:t>
      </w:r>
      <w:r w:rsidRPr="00230CF0">
        <w:rPr>
          <w:rFonts w:ascii="Times New Roman" w:eastAsia="Calibri" w:hAnsi="Times New Roman" w:cs="Times New Roman"/>
          <w:sz w:val="24"/>
          <w:szCs w:val="24"/>
        </w:rPr>
        <w:t xml:space="preserve">автоматически) выбрать наиболее удобную аппликатуру. Наилучшие результаты </w:t>
      </w:r>
      <w:r w:rsidRPr="00230CF0">
        <w:rPr>
          <w:rFonts w:ascii="Times New Roman" w:eastAsia="Calibri" w:hAnsi="Times New Roman" w:cs="Times New Roman"/>
          <w:sz w:val="24"/>
          <w:szCs w:val="24"/>
        </w:rPr>
        <w:lastRenderedPageBreak/>
        <w:t xml:space="preserve">достигаются тогда, когда навык чтения с листа формируется с первых шагов обучения пианиста- до того, как успевает укорениться разбирать текст по складам. </w:t>
      </w:r>
    </w:p>
    <w:p w:rsidR="00230CF0" w:rsidRPr="00230CF0" w:rsidRDefault="00230CF0" w:rsidP="00230CF0">
      <w:pPr>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 xml:space="preserve">Основные принципы этой методики сводятся к следующему: </w:t>
      </w:r>
    </w:p>
    <w:p w:rsidR="00230CF0" w:rsidRPr="00230CF0" w:rsidRDefault="00230CF0" w:rsidP="00230CF0">
      <w:pPr>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1.</w:t>
      </w:r>
      <w:r w:rsidR="00073923">
        <w:rPr>
          <w:rFonts w:ascii="Times New Roman" w:eastAsia="Calibri" w:hAnsi="Times New Roman" w:cs="Times New Roman"/>
          <w:sz w:val="24"/>
          <w:szCs w:val="24"/>
        </w:rPr>
        <w:t xml:space="preserve"> </w:t>
      </w:r>
      <w:r w:rsidRPr="00230CF0">
        <w:rPr>
          <w:rFonts w:ascii="Times New Roman" w:eastAsia="Calibri" w:hAnsi="Times New Roman" w:cs="Times New Roman"/>
          <w:sz w:val="24"/>
          <w:szCs w:val="24"/>
        </w:rPr>
        <w:t>развитие слуховых представлений всегда опережает обучение чтению нот, новые элементы ритма, лада, мелодики осваиваются слухом и только потом в нотной записи. Отсюда необходимость подготовительного этапа, а также раздельное изучение знаков ритма и высоты.</w:t>
      </w:r>
    </w:p>
    <w:p w:rsidR="00230CF0" w:rsidRPr="00230CF0" w:rsidRDefault="00230CF0" w:rsidP="00230CF0">
      <w:pPr>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2.</w:t>
      </w:r>
      <w:r w:rsidR="00073923">
        <w:rPr>
          <w:rFonts w:ascii="Times New Roman" w:eastAsia="Calibri" w:hAnsi="Times New Roman" w:cs="Times New Roman"/>
          <w:sz w:val="24"/>
          <w:szCs w:val="24"/>
        </w:rPr>
        <w:t xml:space="preserve"> </w:t>
      </w:r>
      <w:r w:rsidRPr="00230CF0">
        <w:rPr>
          <w:rFonts w:ascii="Times New Roman" w:eastAsia="Calibri" w:hAnsi="Times New Roman" w:cs="Times New Roman"/>
          <w:sz w:val="24"/>
          <w:szCs w:val="24"/>
        </w:rPr>
        <w:t xml:space="preserve">с самого начала формируется комплексное восприятие нотного текста. </w:t>
      </w:r>
    </w:p>
    <w:p w:rsidR="00230CF0" w:rsidRPr="00230CF0" w:rsidRDefault="00230CF0" w:rsidP="00230CF0">
      <w:pPr>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3</w:t>
      </w:r>
      <w:r w:rsidR="00073923">
        <w:rPr>
          <w:rFonts w:ascii="Times New Roman" w:eastAsia="Calibri" w:hAnsi="Times New Roman" w:cs="Times New Roman"/>
          <w:sz w:val="24"/>
          <w:szCs w:val="24"/>
        </w:rPr>
        <w:t xml:space="preserve">. </w:t>
      </w:r>
      <w:r w:rsidRPr="00230CF0">
        <w:rPr>
          <w:rFonts w:ascii="Times New Roman" w:eastAsia="Calibri" w:hAnsi="Times New Roman" w:cs="Times New Roman"/>
          <w:sz w:val="24"/>
          <w:szCs w:val="24"/>
        </w:rPr>
        <w:t>при помощи специаль</w:t>
      </w:r>
      <w:r w:rsidR="00073923">
        <w:rPr>
          <w:rFonts w:ascii="Times New Roman" w:eastAsia="Calibri" w:hAnsi="Times New Roman" w:cs="Times New Roman"/>
          <w:sz w:val="24"/>
          <w:szCs w:val="24"/>
        </w:rPr>
        <w:t xml:space="preserve">ных вспомогательных упражнений </w:t>
      </w:r>
      <w:r w:rsidRPr="00230CF0">
        <w:rPr>
          <w:rFonts w:ascii="Times New Roman" w:eastAsia="Calibri" w:hAnsi="Times New Roman" w:cs="Times New Roman"/>
          <w:sz w:val="24"/>
          <w:szCs w:val="24"/>
        </w:rPr>
        <w:t>и действий ученик обучается ускоренному чтению нотной графики, ориентировке рук на клавиатуре без зрительного контроля и аппликатурной технике.</w:t>
      </w:r>
    </w:p>
    <w:p w:rsidR="00230CF0" w:rsidRPr="00230CF0" w:rsidRDefault="00230CF0" w:rsidP="00230CF0">
      <w:pPr>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4.</w:t>
      </w:r>
      <w:r w:rsidR="00073923">
        <w:rPr>
          <w:rFonts w:ascii="Times New Roman" w:eastAsia="Calibri" w:hAnsi="Times New Roman" w:cs="Times New Roman"/>
          <w:sz w:val="24"/>
          <w:szCs w:val="24"/>
        </w:rPr>
        <w:t xml:space="preserve"> </w:t>
      </w:r>
      <w:r w:rsidRPr="00230CF0">
        <w:rPr>
          <w:rFonts w:ascii="Times New Roman" w:eastAsia="Calibri" w:hAnsi="Times New Roman" w:cs="Times New Roman"/>
          <w:sz w:val="24"/>
          <w:szCs w:val="24"/>
        </w:rPr>
        <w:t>в слуховой, зрительной и моторной памяти ученика последовательно накапливаются типичные фактурные, ритмические, мелодические формы, свойственные различным стилям фортепианной музыки.</w:t>
      </w:r>
    </w:p>
    <w:p w:rsidR="00230CF0" w:rsidRPr="00230CF0" w:rsidRDefault="00230CF0" w:rsidP="00230CF0">
      <w:pPr>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5.</w:t>
      </w:r>
      <w:r w:rsidR="00073923">
        <w:rPr>
          <w:rFonts w:ascii="Times New Roman" w:eastAsia="Calibri" w:hAnsi="Times New Roman" w:cs="Times New Roman"/>
          <w:sz w:val="24"/>
          <w:szCs w:val="24"/>
        </w:rPr>
        <w:t xml:space="preserve"> </w:t>
      </w:r>
      <w:r w:rsidRPr="00230CF0">
        <w:rPr>
          <w:rFonts w:ascii="Times New Roman" w:eastAsia="Calibri" w:hAnsi="Times New Roman" w:cs="Times New Roman"/>
          <w:sz w:val="24"/>
          <w:szCs w:val="24"/>
        </w:rPr>
        <w:t xml:space="preserve"> ориентируя ученика на усвоение обобщенных формул, стереотипов фортепианного текста, необходимо одновременно научить преодолению стереотипов, воспитать готовность к новым, неожиданным музыкальным ситуациям.</w:t>
      </w:r>
    </w:p>
    <w:p w:rsidR="00230CF0" w:rsidRPr="00230CF0" w:rsidRDefault="00230CF0" w:rsidP="00230CF0">
      <w:pPr>
        <w:spacing w:after="0" w:line="360" w:lineRule="auto"/>
        <w:jc w:val="both"/>
        <w:rPr>
          <w:rFonts w:ascii="Times New Roman" w:eastAsia="Calibri" w:hAnsi="Times New Roman" w:cs="Times New Roman"/>
          <w:sz w:val="24"/>
          <w:szCs w:val="24"/>
        </w:rPr>
      </w:pPr>
    </w:p>
    <w:p w:rsidR="00230CF0" w:rsidRPr="00230CF0" w:rsidRDefault="00230CF0" w:rsidP="00230CF0">
      <w:pPr>
        <w:spacing w:after="0" w:line="360" w:lineRule="auto"/>
        <w:jc w:val="both"/>
        <w:rPr>
          <w:rFonts w:ascii="Times New Roman" w:eastAsia="Calibri" w:hAnsi="Times New Roman" w:cs="Times New Roman"/>
          <w:sz w:val="24"/>
          <w:szCs w:val="24"/>
        </w:rPr>
      </w:pP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r w:rsidRPr="00230CF0">
        <w:rPr>
          <w:rFonts w:ascii="Times New Roman" w:eastAsia="Calibri" w:hAnsi="Times New Roman" w:cs="Times New Roman"/>
          <w:sz w:val="24"/>
          <w:szCs w:val="24"/>
        </w:rPr>
        <w:t>Список использованной литературы.</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proofErr w:type="spellStart"/>
      <w:r w:rsidRPr="00230CF0">
        <w:rPr>
          <w:rFonts w:ascii="Times New Roman" w:eastAsia="Calibri" w:hAnsi="Times New Roman" w:cs="Times New Roman"/>
          <w:sz w:val="24"/>
          <w:szCs w:val="24"/>
        </w:rPr>
        <w:t>П.Н.Бережанский</w:t>
      </w:r>
      <w:proofErr w:type="spellEnd"/>
      <w:r w:rsidRPr="00230CF0">
        <w:rPr>
          <w:rFonts w:ascii="Times New Roman" w:eastAsia="Calibri" w:hAnsi="Times New Roman" w:cs="Times New Roman"/>
          <w:sz w:val="24"/>
          <w:szCs w:val="24"/>
        </w:rPr>
        <w:t>. Формирование и развитие способности чтения нот с листа. Курск.1996</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proofErr w:type="spellStart"/>
      <w:r w:rsidRPr="00230CF0">
        <w:rPr>
          <w:rFonts w:ascii="Times New Roman" w:eastAsia="Calibri" w:hAnsi="Times New Roman" w:cs="Times New Roman"/>
          <w:sz w:val="24"/>
          <w:szCs w:val="24"/>
        </w:rPr>
        <w:t>Р.А.Хорунжая</w:t>
      </w:r>
      <w:proofErr w:type="spellEnd"/>
      <w:r w:rsidRPr="00230CF0">
        <w:rPr>
          <w:rFonts w:ascii="Times New Roman" w:eastAsia="Calibri" w:hAnsi="Times New Roman" w:cs="Times New Roman"/>
          <w:sz w:val="24"/>
          <w:szCs w:val="24"/>
        </w:rPr>
        <w:t>. Развитие навыка чтения нот слиста.МГУК.1998</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proofErr w:type="spellStart"/>
      <w:r w:rsidRPr="00230CF0">
        <w:rPr>
          <w:rFonts w:ascii="Times New Roman" w:eastAsia="Calibri" w:hAnsi="Times New Roman" w:cs="Times New Roman"/>
          <w:sz w:val="24"/>
          <w:szCs w:val="24"/>
        </w:rPr>
        <w:t>Ф.О.Брянская</w:t>
      </w:r>
      <w:proofErr w:type="spellEnd"/>
      <w:r w:rsidRPr="00230CF0">
        <w:rPr>
          <w:rFonts w:ascii="Times New Roman" w:eastAsia="Calibri" w:hAnsi="Times New Roman" w:cs="Times New Roman"/>
          <w:sz w:val="24"/>
          <w:szCs w:val="24"/>
        </w:rPr>
        <w:t>. Формирование и развитие навыка игры с листа в первые годы обучения пианиста.М.1971</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proofErr w:type="spellStart"/>
      <w:r w:rsidRPr="00230CF0">
        <w:rPr>
          <w:rFonts w:ascii="Times New Roman" w:eastAsia="Calibri" w:hAnsi="Times New Roman" w:cs="Times New Roman"/>
          <w:sz w:val="24"/>
          <w:szCs w:val="24"/>
        </w:rPr>
        <w:t>Л.И.Горелашвили</w:t>
      </w:r>
      <w:proofErr w:type="spellEnd"/>
      <w:r w:rsidRPr="00230CF0">
        <w:rPr>
          <w:rFonts w:ascii="Times New Roman" w:eastAsia="Calibri" w:hAnsi="Times New Roman" w:cs="Times New Roman"/>
          <w:sz w:val="24"/>
          <w:szCs w:val="24"/>
        </w:rPr>
        <w:t>. Некоторые особенности визуального восприятия и оперативной памяти пианиста в процессе игры с листа.Тбилиси.1978</w:t>
      </w:r>
    </w:p>
    <w:p w:rsidR="00230CF0" w:rsidRPr="00230CF0" w:rsidRDefault="00230CF0" w:rsidP="00230CF0">
      <w:pPr>
        <w:tabs>
          <w:tab w:val="left" w:pos="0"/>
        </w:tabs>
        <w:spacing w:after="0" w:line="360" w:lineRule="auto"/>
        <w:ind w:firstLine="567"/>
        <w:jc w:val="both"/>
        <w:rPr>
          <w:rFonts w:ascii="Times New Roman" w:eastAsia="Calibri" w:hAnsi="Times New Roman" w:cs="Times New Roman"/>
          <w:sz w:val="24"/>
          <w:szCs w:val="24"/>
        </w:rPr>
      </w:pPr>
      <w:proofErr w:type="spellStart"/>
      <w:r w:rsidRPr="00230CF0">
        <w:rPr>
          <w:rFonts w:ascii="Times New Roman" w:eastAsia="Calibri" w:hAnsi="Times New Roman" w:cs="Times New Roman"/>
          <w:sz w:val="24"/>
          <w:szCs w:val="24"/>
        </w:rPr>
        <w:t>Г.М.Цыпин</w:t>
      </w:r>
      <w:proofErr w:type="spellEnd"/>
      <w:r w:rsidRPr="00230CF0">
        <w:rPr>
          <w:rFonts w:ascii="Times New Roman" w:eastAsia="Calibri" w:hAnsi="Times New Roman" w:cs="Times New Roman"/>
          <w:sz w:val="24"/>
          <w:szCs w:val="24"/>
        </w:rPr>
        <w:t>. Обучение игре на фортепиано.М.1984</w:t>
      </w:r>
    </w:p>
    <w:p w:rsidR="00230CF0" w:rsidRPr="00230CF0" w:rsidRDefault="00230CF0" w:rsidP="00230CF0">
      <w:pPr>
        <w:tabs>
          <w:tab w:val="left" w:pos="1950"/>
        </w:tabs>
        <w:spacing w:after="200" w:line="360" w:lineRule="auto"/>
        <w:rPr>
          <w:rFonts w:ascii="Times New Roman" w:eastAsia="Calibri" w:hAnsi="Times New Roman" w:cs="Times New Roman"/>
          <w:sz w:val="24"/>
          <w:szCs w:val="24"/>
        </w:rPr>
      </w:pPr>
    </w:p>
    <w:p w:rsidR="00230CF0" w:rsidRPr="00230CF0" w:rsidRDefault="00230CF0" w:rsidP="00230CF0">
      <w:pPr>
        <w:spacing w:after="200" w:line="360" w:lineRule="auto"/>
        <w:rPr>
          <w:rFonts w:ascii="Times New Roman" w:eastAsia="Calibri" w:hAnsi="Times New Roman" w:cs="Times New Roman"/>
          <w:sz w:val="24"/>
          <w:szCs w:val="24"/>
        </w:rPr>
      </w:pPr>
    </w:p>
    <w:p w:rsidR="00B3133B" w:rsidRDefault="00B3133B"/>
    <w:sectPr w:rsidR="00B313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EC3"/>
    <w:rsid w:val="00073923"/>
    <w:rsid w:val="000E1EC3"/>
    <w:rsid w:val="00110162"/>
    <w:rsid w:val="00230CF0"/>
    <w:rsid w:val="009555C0"/>
    <w:rsid w:val="00B3133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BDF0E4-AB82-47B4-B895-9F25D7A92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30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230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2090</Words>
  <Characters>11915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Балабаева</dc:creator>
  <cp:keywords/>
  <dc:description/>
  <cp:lastModifiedBy>Учетная запись Майкрософт</cp:lastModifiedBy>
  <cp:revision>2</cp:revision>
  <dcterms:created xsi:type="dcterms:W3CDTF">2024-11-18T13:38:00Z</dcterms:created>
  <dcterms:modified xsi:type="dcterms:W3CDTF">2024-11-18T13:38:00Z</dcterms:modified>
</cp:coreProperties>
</file>